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68C0CF" w14:textId="7F683D25" w:rsidR="00535105" w:rsidRDefault="00535105">
      <w:bookmarkStart w:id="0" w:name="_GoBack"/>
      <w:bookmarkEnd w:id="0"/>
      <w:r>
        <w:t xml:space="preserve">The </w:t>
      </w:r>
      <w:r w:rsidRPr="00535105">
        <w:t xml:space="preserve">Carroll Road Solar Farm LLC. </w:t>
      </w:r>
      <w:r>
        <w:t>solar panel installation is expected to be placed on 1</w:t>
      </w:r>
      <w:r w:rsidR="00CC2F00">
        <w:t>,</w:t>
      </w:r>
      <w:r>
        <w:t xml:space="preserve">674.53 acres of mostly farmland in Lenawee County, MI. We assert that 90 percent of these parcels will have agricultural production diverted through the 35 year life of this installation. Based on current yield and cost of production estimates, we estimated the expected loss in </w:t>
      </w:r>
      <w:r w:rsidR="00CC2F00">
        <w:t xml:space="preserve">economic activity from lost </w:t>
      </w:r>
      <w:r>
        <w:t>agricultural production.</w:t>
      </w:r>
      <w:r w:rsidR="00CC2F00">
        <w:rPr>
          <w:rStyle w:val="FootnoteReference"/>
        </w:rPr>
        <w:footnoteReference w:id="1"/>
      </w:r>
    </w:p>
    <w:p w14:paraId="47515F86" w14:textId="1DB052E4" w:rsidR="00C25955" w:rsidRDefault="00C25955">
      <w:r>
        <w:t xml:space="preserve">Estimate direct annual loss of: </w:t>
      </w:r>
    </w:p>
    <w:p w14:paraId="6F639989" w14:textId="1575B2BC" w:rsidR="001D6A32" w:rsidRPr="00D87242" w:rsidRDefault="001D6A32" w:rsidP="00C25955">
      <w:pPr>
        <w:pStyle w:val="ListParagraph"/>
        <w:numPr>
          <w:ilvl w:val="0"/>
          <w:numId w:val="1"/>
        </w:numPr>
        <w:rPr>
          <w:b/>
          <w:bCs/>
        </w:rPr>
      </w:pPr>
      <w:r w:rsidRPr="00D87242">
        <w:rPr>
          <w:b/>
          <w:bCs/>
        </w:rPr>
        <w:t>$1,092,8</w:t>
      </w:r>
      <w:r w:rsidR="000053D3" w:rsidRPr="00D87242">
        <w:rPr>
          <w:b/>
          <w:bCs/>
        </w:rPr>
        <w:t>5</w:t>
      </w:r>
      <w:r w:rsidRPr="00D87242">
        <w:rPr>
          <w:b/>
          <w:bCs/>
        </w:rPr>
        <w:t>0 in gross farm revenues (cash sales of farms)</w:t>
      </w:r>
    </w:p>
    <w:p w14:paraId="0942CCCE" w14:textId="445AEDDA" w:rsidR="00B5131F" w:rsidRPr="00D87242" w:rsidRDefault="00C25955" w:rsidP="00C25955">
      <w:pPr>
        <w:pStyle w:val="ListParagraph"/>
        <w:numPr>
          <w:ilvl w:val="0"/>
          <w:numId w:val="1"/>
        </w:numPr>
        <w:rPr>
          <w:b/>
          <w:bCs/>
        </w:rPr>
      </w:pPr>
      <w:r w:rsidRPr="00D87242">
        <w:rPr>
          <w:b/>
          <w:bCs/>
        </w:rPr>
        <w:t>$473,800 in farm net revenues (Farm revenues to proprietor, farm capital and farm land)</w:t>
      </w:r>
    </w:p>
    <w:p w14:paraId="212AC62F" w14:textId="2742B45E" w:rsidR="00C25955" w:rsidRPr="00D87242" w:rsidRDefault="00C25955" w:rsidP="00C25955">
      <w:pPr>
        <w:pStyle w:val="ListParagraph"/>
        <w:numPr>
          <w:ilvl w:val="0"/>
          <w:numId w:val="1"/>
        </w:numPr>
        <w:rPr>
          <w:b/>
          <w:bCs/>
        </w:rPr>
      </w:pPr>
      <w:r w:rsidRPr="00D87242">
        <w:rPr>
          <w:b/>
          <w:bCs/>
        </w:rPr>
        <w:t>$49,000 in farm labor earnings</w:t>
      </w:r>
    </w:p>
    <w:p w14:paraId="3CD1F749" w14:textId="3C5C8980" w:rsidR="00B5131F" w:rsidRDefault="001D6A32">
      <w:r>
        <w:t>Over 35 years of the installation, this represents a decline in (2020 $ values held constant):</w:t>
      </w:r>
    </w:p>
    <w:p w14:paraId="691160B7" w14:textId="2C654FE2" w:rsidR="001D6A32" w:rsidRPr="00D87242" w:rsidRDefault="001D6A32" w:rsidP="001D6A32">
      <w:pPr>
        <w:pStyle w:val="ListParagraph"/>
        <w:numPr>
          <w:ilvl w:val="0"/>
          <w:numId w:val="2"/>
        </w:numPr>
        <w:rPr>
          <w:b/>
          <w:bCs/>
        </w:rPr>
      </w:pPr>
      <w:r w:rsidRPr="00D87242">
        <w:rPr>
          <w:b/>
          <w:bCs/>
        </w:rPr>
        <w:t>$38,249,700 in gross farm revenues</w:t>
      </w:r>
    </w:p>
    <w:p w14:paraId="059A179C" w14:textId="33268D8E" w:rsidR="001D6A32" w:rsidRPr="00D87242" w:rsidRDefault="001D6A32" w:rsidP="001D6A32">
      <w:pPr>
        <w:pStyle w:val="ListParagraph"/>
        <w:numPr>
          <w:ilvl w:val="0"/>
          <w:numId w:val="2"/>
        </w:numPr>
        <w:rPr>
          <w:b/>
          <w:bCs/>
        </w:rPr>
      </w:pPr>
      <w:r w:rsidRPr="00D87242">
        <w:rPr>
          <w:b/>
          <w:bCs/>
        </w:rPr>
        <w:t xml:space="preserve">$23,260,600 in farm net revenues </w:t>
      </w:r>
    </w:p>
    <w:p w14:paraId="4B7B76C1" w14:textId="30B6A95C" w:rsidR="001D6A32" w:rsidRPr="00D87242" w:rsidRDefault="001D6A32" w:rsidP="001D6A32">
      <w:pPr>
        <w:pStyle w:val="ListParagraph"/>
        <w:numPr>
          <w:ilvl w:val="0"/>
          <w:numId w:val="2"/>
        </w:numPr>
        <w:rPr>
          <w:b/>
          <w:bCs/>
        </w:rPr>
      </w:pPr>
      <w:r w:rsidRPr="00D87242">
        <w:rPr>
          <w:b/>
          <w:bCs/>
        </w:rPr>
        <w:t xml:space="preserve">$1,714,300 in farm labor earnings </w:t>
      </w:r>
    </w:p>
    <w:p w14:paraId="7E65DCEE" w14:textId="38BB5E02" w:rsidR="001D6A32" w:rsidRDefault="001D6A32">
      <w:r>
        <w:t xml:space="preserve">We simulated how the loss in annual farm sales translates to economy-wide impacts on Lenawee County, MI. Economy-wide impacts are larger than direct impacts because dollars recirculate throughout the economy. For example, the sales revenues earned by the grower are partially re-spent in the local economy to purchase seed inputs to the next year’s harvest, to purchase fuel, </w:t>
      </w:r>
      <w:r w:rsidR="00975C17">
        <w:t>maintain or expand capital like tractors and enclosures, etc. Those receiving payments from the farmers will also re-spend a share to restock on inventories, pay labor, taxes and operating expenses. Households increase their expenditures from labor and proprietary income, creating a second channel of impacts. Together, the business to business transactions and household to business transactions make up what we call secondary expenditures (indirect and induced effects, respectively). The cycle continues, decreased only to the extent that purchases are made to suppliers from outside of Lenawee County. The table below shows estimates using annual estimates</w:t>
      </w:r>
      <w:r w:rsidR="000053D3">
        <w:t xml:space="preserve"> described above.</w:t>
      </w:r>
      <w:r w:rsidR="00975C17">
        <w:t xml:space="preserve"> </w:t>
      </w:r>
    </w:p>
    <w:tbl>
      <w:tblPr>
        <w:tblW w:w="7061" w:type="dxa"/>
        <w:tblLook w:val="04A0" w:firstRow="1" w:lastRow="0" w:firstColumn="1" w:lastColumn="0" w:noHBand="0" w:noVBand="1"/>
      </w:tblPr>
      <w:tblGrid>
        <w:gridCol w:w="10"/>
        <w:gridCol w:w="1760"/>
        <w:gridCol w:w="1381"/>
        <w:gridCol w:w="1376"/>
        <w:gridCol w:w="1316"/>
        <w:gridCol w:w="1058"/>
        <w:gridCol w:w="160"/>
      </w:tblGrid>
      <w:tr w:rsidR="00975C17" w:rsidRPr="00975C17" w14:paraId="7E758A7F" w14:textId="77777777" w:rsidTr="00023456">
        <w:trPr>
          <w:gridAfter w:val="1"/>
          <w:wAfter w:w="160" w:type="dxa"/>
          <w:trHeight w:val="315"/>
        </w:trPr>
        <w:tc>
          <w:tcPr>
            <w:tcW w:w="6901" w:type="dxa"/>
            <w:gridSpan w:val="6"/>
            <w:tcBorders>
              <w:top w:val="nil"/>
              <w:left w:val="nil"/>
              <w:bottom w:val="nil"/>
              <w:right w:val="nil"/>
            </w:tcBorders>
            <w:shd w:val="clear" w:color="auto" w:fill="auto"/>
            <w:noWrap/>
            <w:vAlign w:val="bottom"/>
            <w:hideMark/>
          </w:tcPr>
          <w:p w14:paraId="433C6182" w14:textId="62957C60" w:rsidR="00975C17" w:rsidRPr="00975C17" w:rsidRDefault="00975C17" w:rsidP="00975C17">
            <w:pPr>
              <w:spacing w:after="0" w:line="240" w:lineRule="auto"/>
              <w:rPr>
                <w:rFonts w:ascii="Times New Roman" w:eastAsia="Times New Roman" w:hAnsi="Times New Roman" w:cs="Times New Roman"/>
                <w:sz w:val="20"/>
                <w:szCs w:val="20"/>
              </w:rPr>
            </w:pPr>
            <w:r w:rsidRPr="00975C17">
              <w:rPr>
                <w:rFonts w:ascii="Calibri" w:eastAsia="Times New Roman" w:hAnsi="Calibri" w:cs="Calibri"/>
                <w:color w:val="000000"/>
              </w:rPr>
              <w:t>Model simulation</w:t>
            </w:r>
            <w:r w:rsidR="000053D3">
              <w:rPr>
                <w:rFonts w:ascii="Calibri" w:eastAsia="Times New Roman" w:hAnsi="Calibri" w:cs="Calibri"/>
                <w:color w:val="000000"/>
              </w:rPr>
              <w:t>: Lost Farm Sales Impacts on Lenawee County, MI</w:t>
            </w:r>
          </w:p>
        </w:tc>
      </w:tr>
      <w:tr w:rsidR="000053D3" w:rsidRPr="000053D3" w14:paraId="2B7D7D40" w14:textId="77777777" w:rsidTr="00023456">
        <w:trPr>
          <w:gridBefore w:val="1"/>
          <w:wBefore w:w="10" w:type="dxa"/>
          <w:trHeight w:val="315"/>
        </w:trPr>
        <w:tc>
          <w:tcPr>
            <w:tcW w:w="17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C40244F" w14:textId="77777777" w:rsidR="000053D3" w:rsidRPr="000053D3" w:rsidRDefault="000053D3" w:rsidP="000053D3">
            <w:pPr>
              <w:spacing w:after="0" w:line="240" w:lineRule="auto"/>
              <w:rPr>
                <w:rFonts w:ascii="Calibri" w:eastAsia="Times New Roman" w:hAnsi="Calibri" w:cs="Calibri"/>
                <w:b/>
                <w:bCs/>
                <w:color w:val="000000"/>
              </w:rPr>
            </w:pPr>
            <w:r w:rsidRPr="000053D3">
              <w:rPr>
                <w:rFonts w:ascii="Calibri" w:eastAsia="Times New Roman" w:hAnsi="Calibri" w:cs="Calibri"/>
                <w:b/>
                <w:bCs/>
                <w:color w:val="000000"/>
              </w:rPr>
              <w:t>Impact Type</w:t>
            </w:r>
          </w:p>
        </w:tc>
        <w:tc>
          <w:tcPr>
            <w:tcW w:w="1381" w:type="dxa"/>
            <w:tcBorders>
              <w:top w:val="single" w:sz="8" w:space="0" w:color="auto"/>
              <w:left w:val="nil"/>
              <w:bottom w:val="single" w:sz="8" w:space="0" w:color="auto"/>
              <w:right w:val="nil"/>
            </w:tcBorders>
            <w:shd w:val="clear" w:color="auto" w:fill="auto"/>
            <w:noWrap/>
            <w:vAlign w:val="bottom"/>
            <w:hideMark/>
          </w:tcPr>
          <w:p w14:paraId="13BDAB5E" w14:textId="77777777" w:rsidR="000053D3" w:rsidRPr="000053D3" w:rsidRDefault="000053D3" w:rsidP="00023456">
            <w:pPr>
              <w:spacing w:after="0" w:line="240" w:lineRule="auto"/>
              <w:jc w:val="center"/>
              <w:rPr>
                <w:rFonts w:ascii="Calibri" w:eastAsia="Times New Roman" w:hAnsi="Calibri" w:cs="Calibri"/>
                <w:b/>
                <w:bCs/>
                <w:color w:val="000000"/>
              </w:rPr>
            </w:pPr>
            <w:r w:rsidRPr="000053D3">
              <w:rPr>
                <w:rFonts w:ascii="Calibri" w:eastAsia="Times New Roman" w:hAnsi="Calibri" w:cs="Calibri"/>
                <w:b/>
                <w:bCs/>
                <w:color w:val="000000"/>
              </w:rPr>
              <w:t>Employment</w:t>
            </w:r>
          </w:p>
        </w:tc>
        <w:tc>
          <w:tcPr>
            <w:tcW w:w="1376" w:type="dxa"/>
            <w:tcBorders>
              <w:top w:val="single" w:sz="8" w:space="0" w:color="auto"/>
              <w:left w:val="nil"/>
              <w:bottom w:val="single" w:sz="8" w:space="0" w:color="auto"/>
              <w:right w:val="nil"/>
            </w:tcBorders>
            <w:shd w:val="clear" w:color="auto" w:fill="auto"/>
            <w:noWrap/>
            <w:vAlign w:val="bottom"/>
            <w:hideMark/>
          </w:tcPr>
          <w:p w14:paraId="6E63DF41" w14:textId="77777777" w:rsidR="000053D3" w:rsidRPr="000053D3" w:rsidRDefault="000053D3" w:rsidP="00023456">
            <w:pPr>
              <w:spacing w:after="0" w:line="240" w:lineRule="auto"/>
              <w:jc w:val="center"/>
              <w:rPr>
                <w:rFonts w:ascii="Calibri" w:eastAsia="Times New Roman" w:hAnsi="Calibri" w:cs="Calibri"/>
                <w:b/>
                <w:bCs/>
                <w:color w:val="000000"/>
              </w:rPr>
            </w:pPr>
            <w:r w:rsidRPr="000053D3">
              <w:rPr>
                <w:rFonts w:ascii="Calibri" w:eastAsia="Times New Roman" w:hAnsi="Calibri" w:cs="Calibri"/>
                <w:b/>
                <w:bCs/>
                <w:color w:val="000000"/>
              </w:rPr>
              <w:t>Labor Income</w:t>
            </w:r>
          </w:p>
        </w:tc>
        <w:tc>
          <w:tcPr>
            <w:tcW w:w="1316" w:type="dxa"/>
            <w:tcBorders>
              <w:top w:val="single" w:sz="8" w:space="0" w:color="auto"/>
              <w:left w:val="nil"/>
              <w:bottom w:val="single" w:sz="8" w:space="0" w:color="auto"/>
              <w:right w:val="nil"/>
            </w:tcBorders>
            <w:shd w:val="clear" w:color="auto" w:fill="auto"/>
            <w:noWrap/>
            <w:vAlign w:val="bottom"/>
            <w:hideMark/>
          </w:tcPr>
          <w:p w14:paraId="0878C3F7" w14:textId="77777777" w:rsidR="000053D3" w:rsidRPr="000053D3" w:rsidRDefault="000053D3" w:rsidP="00023456">
            <w:pPr>
              <w:spacing w:after="0" w:line="240" w:lineRule="auto"/>
              <w:jc w:val="center"/>
              <w:rPr>
                <w:rFonts w:ascii="Calibri" w:eastAsia="Times New Roman" w:hAnsi="Calibri" w:cs="Calibri"/>
                <w:b/>
                <w:bCs/>
                <w:color w:val="000000"/>
              </w:rPr>
            </w:pPr>
            <w:r w:rsidRPr="000053D3">
              <w:rPr>
                <w:rFonts w:ascii="Calibri" w:eastAsia="Times New Roman" w:hAnsi="Calibri" w:cs="Calibri"/>
                <w:b/>
                <w:bCs/>
                <w:color w:val="000000"/>
              </w:rPr>
              <w:t>Regional Income</w:t>
            </w:r>
          </w:p>
        </w:tc>
        <w:tc>
          <w:tcPr>
            <w:tcW w:w="1218" w:type="dxa"/>
            <w:gridSpan w:val="2"/>
            <w:tcBorders>
              <w:top w:val="single" w:sz="8" w:space="0" w:color="auto"/>
              <w:left w:val="nil"/>
              <w:bottom w:val="single" w:sz="8" w:space="0" w:color="auto"/>
              <w:right w:val="single" w:sz="8" w:space="0" w:color="auto"/>
            </w:tcBorders>
            <w:shd w:val="clear" w:color="auto" w:fill="auto"/>
            <w:noWrap/>
            <w:vAlign w:val="bottom"/>
            <w:hideMark/>
          </w:tcPr>
          <w:p w14:paraId="1C029E3E" w14:textId="77777777" w:rsidR="000053D3" w:rsidRPr="000053D3" w:rsidRDefault="000053D3" w:rsidP="00023456">
            <w:pPr>
              <w:spacing w:after="0" w:line="240" w:lineRule="auto"/>
              <w:jc w:val="center"/>
              <w:rPr>
                <w:rFonts w:ascii="Calibri" w:eastAsia="Times New Roman" w:hAnsi="Calibri" w:cs="Calibri"/>
                <w:b/>
                <w:bCs/>
                <w:color w:val="000000"/>
              </w:rPr>
            </w:pPr>
            <w:r w:rsidRPr="000053D3">
              <w:rPr>
                <w:rFonts w:ascii="Calibri" w:eastAsia="Times New Roman" w:hAnsi="Calibri" w:cs="Calibri"/>
                <w:b/>
                <w:bCs/>
                <w:color w:val="000000"/>
              </w:rPr>
              <w:t>Output</w:t>
            </w:r>
          </w:p>
        </w:tc>
      </w:tr>
      <w:tr w:rsidR="000053D3" w:rsidRPr="000053D3" w14:paraId="46A2C04C" w14:textId="77777777" w:rsidTr="00023456">
        <w:trPr>
          <w:gridBefore w:val="1"/>
          <w:wBefore w:w="10" w:type="dxa"/>
          <w:trHeight w:val="300"/>
        </w:trPr>
        <w:tc>
          <w:tcPr>
            <w:tcW w:w="1760" w:type="dxa"/>
            <w:tcBorders>
              <w:top w:val="nil"/>
              <w:left w:val="single" w:sz="8" w:space="0" w:color="auto"/>
              <w:bottom w:val="nil"/>
              <w:right w:val="single" w:sz="8" w:space="0" w:color="auto"/>
            </w:tcBorders>
            <w:shd w:val="clear" w:color="auto" w:fill="auto"/>
            <w:noWrap/>
            <w:vAlign w:val="bottom"/>
            <w:hideMark/>
          </w:tcPr>
          <w:p w14:paraId="083ADA18" w14:textId="77777777" w:rsidR="000053D3" w:rsidRPr="000053D3" w:rsidRDefault="000053D3" w:rsidP="000053D3">
            <w:pPr>
              <w:spacing w:after="0" w:line="240" w:lineRule="auto"/>
              <w:rPr>
                <w:rFonts w:ascii="Calibri" w:eastAsia="Times New Roman" w:hAnsi="Calibri" w:cs="Calibri"/>
                <w:b/>
                <w:bCs/>
                <w:color w:val="000000"/>
              </w:rPr>
            </w:pPr>
            <w:r w:rsidRPr="000053D3">
              <w:rPr>
                <w:rFonts w:ascii="Calibri" w:eastAsia="Times New Roman" w:hAnsi="Calibri" w:cs="Calibri"/>
                <w:b/>
                <w:bCs/>
                <w:color w:val="000000"/>
              </w:rPr>
              <w:t>Direct Effect</w:t>
            </w:r>
          </w:p>
        </w:tc>
        <w:tc>
          <w:tcPr>
            <w:tcW w:w="1381" w:type="dxa"/>
            <w:tcBorders>
              <w:top w:val="nil"/>
              <w:left w:val="nil"/>
              <w:bottom w:val="nil"/>
              <w:right w:val="nil"/>
            </w:tcBorders>
            <w:shd w:val="clear" w:color="auto" w:fill="auto"/>
            <w:noWrap/>
            <w:vAlign w:val="bottom"/>
            <w:hideMark/>
          </w:tcPr>
          <w:p w14:paraId="54CD7607" w14:textId="1464BD9C" w:rsidR="00023456" w:rsidRPr="000053D3" w:rsidRDefault="00023456" w:rsidP="00023456">
            <w:pPr>
              <w:spacing w:after="0" w:line="240" w:lineRule="auto"/>
              <w:jc w:val="right"/>
              <w:rPr>
                <w:rFonts w:ascii="Calibri" w:eastAsia="Times New Roman" w:hAnsi="Calibri" w:cs="Calibri"/>
                <w:color w:val="000000"/>
              </w:rPr>
            </w:pPr>
            <w:r>
              <w:rPr>
                <w:rFonts w:ascii="Calibri" w:eastAsia="Times New Roman" w:hAnsi="Calibri" w:cs="Calibri"/>
                <w:color w:val="000000"/>
              </w:rPr>
              <w:t>6</w:t>
            </w:r>
          </w:p>
        </w:tc>
        <w:tc>
          <w:tcPr>
            <w:tcW w:w="1376" w:type="dxa"/>
            <w:tcBorders>
              <w:top w:val="nil"/>
              <w:left w:val="nil"/>
              <w:bottom w:val="nil"/>
              <w:right w:val="nil"/>
            </w:tcBorders>
            <w:shd w:val="clear" w:color="auto" w:fill="auto"/>
            <w:noWrap/>
            <w:vAlign w:val="bottom"/>
            <w:hideMark/>
          </w:tcPr>
          <w:p w14:paraId="6935C3EE" w14:textId="77777777" w:rsidR="000053D3" w:rsidRPr="000053D3" w:rsidRDefault="000053D3" w:rsidP="000053D3">
            <w:pPr>
              <w:spacing w:after="0" w:line="240" w:lineRule="auto"/>
              <w:jc w:val="right"/>
              <w:rPr>
                <w:rFonts w:ascii="Calibri" w:eastAsia="Times New Roman" w:hAnsi="Calibri" w:cs="Calibri"/>
                <w:color w:val="000000"/>
              </w:rPr>
            </w:pPr>
            <w:r w:rsidRPr="000053D3">
              <w:rPr>
                <w:rFonts w:ascii="Calibri" w:eastAsia="Times New Roman" w:hAnsi="Calibri" w:cs="Calibri"/>
                <w:color w:val="000000"/>
              </w:rPr>
              <w:t xml:space="preserve">$48,980 </w:t>
            </w:r>
          </w:p>
        </w:tc>
        <w:tc>
          <w:tcPr>
            <w:tcW w:w="1316" w:type="dxa"/>
            <w:tcBorders>
              <w:top w:val="nil"/>
              <w:left w:val="nil"/>
              <w:bottom w:val="nil"/>
              <w:right w:val="nil"/>
            </w:tcBorders>
            <w:shd w:val="clear" w:color="auto" w:fill="auto"/>
            <w:noWrap/>
            <w:vAlign w:val="bottom"/>
            <w:hideMark/>
          </w:tcPr>
          <w:p w14:paraId="4EAA760C" w14:textId="77777777" w:rsidR="000053D3" w:rsidRPr="000053D3" w:rsidRDefault="000053D3" w:rsidP="000053D3">
            <w:pPr>
              <w:spacing w:after="0" w:line="240" w:lineRule="auto"/>
              <w:jc w:val="right"/>
              <w:rPr>
                <w:rFonts w:ascii="Calibri" w:eastAsia="Times New Roman" w:hAnsi="Calibri" w:cs="Calibri"/>
                <w:color w:val="000000"/>
              </w:rPr>
            </w:pPr>
            <w:r w:rsidRPr="000053D3">
              <w:rPr>
                <w:rFonts w:ascii="Calibri" w:eastAsia="Times New Roman" w:hAnsi="Calibri" w:cs="Calibri"/>
                <w:color w:val="000000"/>
              </w:rPr>
              <w:t xml:space="preserve">$713,567 </w:t>
            </w:r>
          </w:p>
        </w:tc>
        <w:tc>
          <w:tcPr>
            <w:tcW w:w="1218" w:type="dxa"/>
            <w:gridSpan w:val="2"/>
            <w:tcBorders>
              <w:top w:val="nil"/>
              <w:left w:val="nil"/>
              <w:bottom w:val="nil"/>
              <w:right w:val="single" w:sz="8" w:space="0" w:color="auto"/>
            </w:tcBorders>
            <w:shd w:val="clear" w:color="auto" w:fill="auto"/>
            <w:noWrap/>
            <w:vAlign w:val="bottom"/>
            <w:hideMark/>
          </w:tcPr>
          <w:p w14:paraId="7C7F9C79" w14:textId="77777777" w:rsidR="000053D3" w:rsidRPr="000053D3" w:rsidRDefault="000053D3" w:rsidP="000053D3">
            <w:pPr>
              <w:spacing w:after="0" w:line="240" w:lineRule="auto"/>
              <w:jc w:val="right"/>
              <w:rPr>
                <w:rFonts w:ascii="Calibri" w:eastAsia="Times New Roman" w:hAnsi="Calibri" w:cs="Calibri"/>
                <w:color w:val="000000"/>
              </w:rPr>
            </w:pPr>
            <w:r w:rsidRPr="000053D3">
              <w:rPr>
                <w:rFonts w:ascii="Calibri" w:eastAsia="Times New Roman" w:hAnsi="Calibri" w:cs="Calibri"/>
                <w:color w:val="000000"/>
              </w:rPr>
              <w:t xml:space="preserve">$1,092,848 </w:t>
            </w:r>
          </w:p>
        </w:tc>
      </w:tr>
      <w:tr w:rsidR="000053D3" w:rsidRPr="000053D3" w14:paraId="45EDC3E5" w14:textId="77777777" w:rsidTr="00023456">
        <w:trPr>
          <w:gridBefore w:val="1"/>
          <w:wBefore w:w="10" w:type="dxa"/>
          <w:trHeight w:val="300"/>
        </w:trPr>
        <w:tc>
          <w:tcPr>
            <w:tcW w:w="1760" w:type="dxa"/>
            <w:tcBorders>
              <w:top w:val="nil"/>
              <w:left w:val="single" w:sz="8" w:space="0" w:color="auto"/>
              <w:bottom w:val="nil"/>
              <w:right w:val="single" w:sz="8" w:space="0" w:color="auto"/>
            </w:tcBorders>
            <w:shd w:val="clear" w:color="auto" w:fill="auto"/>
            <w:noWrap/>
            <w:vAlign w:val="bottom"/>
            <w:hideMark/>
          </w:tcPr>
          <w:p w14:paraId="6CB804A4" w14:textId="77777777" w:rsidR="000053D3" w:rsidRPr="000053D3" w:rsidRDefault="000053D3" w:rsidP="000053D3">
            <w:pPr>
              <w:spacing w:after="0" w:line="240" w:lineRule="auto"/>
              <w:rPr>
                <w:rFonts w:ascii="Calibri" w:eastAsia="Times New Roman" w:hAnsi="Calibri" w:cs="Calibri"/>
                <w:b/>
                <w:bCs/>
                <w:color w:val="000000"/>
              </w:rPr>
            </w:pPr>
            <w:r w:rsidRPr="000053D3">
              <w:rPr>
                <w:rFonts w:ascii="Calibri" w:eastAsia="Times New Roman" w:hAnsi="Calibri" w:cs="Calibri"/>
                <w:b/>
                <w:bCs/>
                <w:color w:val="000000"/>
              </w:rPr>
              <w:t>Indirect Effect</w:t>
            </w:r>
          </w:p>
        </w:tc>
        <w:tc>
          <w:tcPr>
            <w:tcW w:w="1381" w:type="dxa"/>
            <w:tcBorders>
              <w:top w:val="nil"/>
              <w:left w:val="nil"/>
              <w:bottom w:val="nil"/>
              <w:right w:val="nil"/>
            </w:tcBorders>
            <w:shd w:val="clear" w:color="auto" w:fill="auto"/>
            <w:noWrap/>
            <w:vAlign w:val="bottom"/>
            <w:hideMark/>
          </w:tcPr>
          <w:p w14:paraId="6A96EA08" w14:textId="3BFA3C1C" w:rsidR="000053D3" w:rsidRPr="000053D3" w:rsidRDefault="00023456" w:rsidP="000053D3">
            <w:pPr>
              <w:spacing w:after="0" w:line="240" w:lineRule="auto"/>
              <w:jc w:val="right"/>
              <w:rPr>
                <w:rFonts w:ascii="Calibri" w:eastAsia="Times New Roman" w:hAnsi="Calibri" w:cs="Calibri"/>
                <w:color w:val="000000"/>
              </w:rPr>
            </w:pPr>
            <w:r>
              <w:rPr>
                <w:rFonts w:ascii="Calibri" w:eastAsia="Times New Roman" w:hAnsi="Calibri" w:cs="Calibri"/>
                <w:color w:val="000000"/>
              </w:rPr>
              <w:t>2</w:t>
            </w:r>
          </w:p>
        </w:tc>
        <w:tc>
          <w:tcPr>
            <w:tcW w:w="1376" w:type="dxa"/>
            <w:tcBorders>
              <w:top w:val="nil"/>
              <w:left w:val="nil"/>
              <w:bottom w:val="nil"/>
              <w:right w:val="nil"/>
            </w:tcBorders>
            <w:shd w:val="clear" w:color="auto" w:fill="auto"/>
            <w:noWrap/>
            <w:vAlign w:val="bottom"/>
            <w:hideMark/>
          </w:tcPr>
          <w:p w14:paraId="3A9D28D2" w14:textId="77777777" w:rsidR="000053D3" w:rsidRPr="000053D3" w:rsidRDefault="000053D3" w:rsidP="000053D3">
            <w:pPr>
              <w:spacing w:after="0" w:line="240" w:lineRule="auto"/>
              <w:jc w:val="right"/>
              <w:rPr>
                <w:rFonts w:ascii="Calibri" w:eastAsia="Times New Roman" w:hAnsi="Calibri" w:cs="Calibri"/>
                <w:color w:val="000000"/>
              </w:rPr>
            </w:pPr>
            <w:r w:rsidRPr="000053D3">
              <w:rPr>
                <w:rFonts w:ascii="Calibri" w:eastAsia="Times New Roman" w:hAnsi="Calibri" w:cs="Calibri"/>
                <w:color w:val="000000"/>
              </w:rPr>
              <w:t xml:space="preserve">$106,285 </w:t>
            </w:r>
          </w:p>
        </w:tc>
        <w:tc>
          <w:tcPr>
            <w:tcW w:w="1316" w:type="dxa"/>
            <w:tcBorders>
              <w:top w:val="nil"/>
              <w:left w:val="nil"/>
              <w:bottom w:val="nil"/>
              <w:right w:val="nil"/>
            </w:tcBorders>
            <w:shd w:val="clear" w:color="auto" w:fill="auto"/>
            <w:noWrap/>
            <w:vAlign w:val="bottom"/>
            <w:hideMark/>
          </w:tcPr>
          <w:p w14:paraId="3A33DA0E" w14:textId="77777777" w:rsidR="000053D3" w:rsidRPr="000053D3" w:rsidRDefault="000053D3" w:rsidP="000053D3">
            <w:pPr>
              <w:spacing w:after="0" w:line="240" w:lineRule="auto"/>
              <w:jc w:val="right"/>
              <w:rPr>
                <w:rFonts w:ascii="Calibri" w:eastAsia="Times New Roman" w:hAnsi="Calibri" w:cs="Calibri"/>
                <w:color w:val="000000"/>
              </w:rPr>
            </w:pPr>
            <w:r w:rsidRPr="000053D3">
              <w:rPr>
                <w:rFonts w:ascii="Calibri" w:eastAsia="Times New Roman" w:hAnsi="Calibri" w:cs="Calibri"/>
                <w:color w:val="000000"/>
              </w:rPr>
              <w:t xml:space="preserve">$209,064 </w:t>
            </w:r>
          </w:p>
        </w:tc>
        <w:tc>
          <w:tcPr>
            <w:tcW w:w="1218" w:type="dxa"/>
            <w:gridSpan w:val="2"/>
            <w:tcBorders>
              <w:top w:val="nil"/>
              <w:left w:val="nil"/>
              <w:bottom w:val="nil"/>
              <w:right w:val="single" w:sz="8" w:space="0" w:color="auto"/>
            </w:tcBorders>
            <w:shd w:val="clear" w:color="auto" w:fill="auto"/>
            <w:noWrap/>
            <w:vAlign w:val="bottom"/>
            <w:hideMark/>
          </w:tcPr>
          <w:p w14:paraId="724115C9" w14:textId="77777777" w:rsidR="000053D3" w:rsidRPr="000053D3" w:rsidRDefault="000053D3" w:rsidP="000053D3">
            <w:pPr>
              <w:spacing w:after="0" w:line="240" w:lineRule="auto"/>
              <w:jc w:val="right"/>
              <w:rPr>
                <w:rFonts w:ascii="Calibri" w:eastAsia="Times New Roman" w:hAnsi="Calibri" w:cs="Calibri"/>
                <w:color w:val="000000"/>
              </w:rPr>
            </w:pPr>
            <w:r w:rsidRPr="000053D3">
              <w:rPr>
                <w:rFonts w:ascii="Calibri" w:eastAsia="Times New Roman" w:hAnsi="Calibri" w:cs="Calibri"/>
                <w:color w:val="000000"/>
              </w:rPr>
              <w:t xml:space="preserve">$320,187 </w:t>
            </w:r>
          </w:p>
        </w:tc>
      </w:tr>
      <w:tr w:rsidR="000053D3" w:rsidRPr="000053D3" w14:paraId="04CEE562" w14:textId="77777777" w:rsidTr="00023456">
        <w:trPr>
          <w:gridBefore w:val="1"/>
          <w:wBefore w:w="10" w:type="dxa"/>
          <w:trHeight w:val="315"/>
        </w:trPr>
        <w:tc>
          <w:tcPr>
            <w:tcW w:w="1760" w:type="dxa"/>
            <w:tcBorders>
              <w:top w:val="nil"/>
              <w:left w:val="single" w:sz="8" w:space="0" w:color="auto"/>
              <w:bottom w:val="single" w:sz="8" w:space="0" w:color="auto"/>
              <w:right w:val="single" w:sz="8" w:space="0" w:color="auto"/>
            </w:tcBorders>
            <w:shd w:val="clear" w:color="auto" w:fill="auto"/>
            <w:noWrap/>
            <w:vAlign w:val="bottom"/>
            <w:hideMark/>
          </w:tcPr>
          <w:p w14:paraId="4D80F60B" w14:textId="77777777" w:rsidR="000053D3" w:rsidRPr="000053D3" w:rsidRDefault="000053D3" w:rsidP="000053D3">
            <w:pPr>
              <w:spacing w:after="0" w:line="240" w:lineRule="auto"/>
              <w:rPr>
                <w:rFonts w:ascii="Calibri" w:eastAsia="Times New Roman" w:hAnsi="Calibri" w:cs="Calibri"/>
                <w:b/>
                <w:bCs/>
                <w:color w:val="000000"/>
              </w:rPr>
            </w:pPr>
            <w:r w:rsidRPr="000053D3">
              <w:rPr>
                <w:rFonts w:ascii="Calibri" w:eastAsia="Times New Roman" w:hAnsi="Calibri" w:cs="Calibri"/>
                <w:b/>
                <w:bCs/>
                <w:color w:val="000000"/>
              </w:rPr>
              <w:t>Induced Effect</w:t>
            </w:r>
          </w:p>
        </w:tc>
        <w:tc>
          <w:tcPr>
            <w:tcW w:w="1381" w:type="dxa"/>
            <w:tcBorders>
              <w:top w:val="nil"/>
              <w:left w:val="nil"/>
              <w:bottom w:val="single" w:sz="8" w:space="0" w:color="auto"/>
              <w:right w:val="nil"/>
            </w:tcBorders>
            <w:shd w:val="clear" w:color="auto" w:fill="auto"/>
            <w:noWrap/>
            <w:vAlign w:val="bottom"/>
            <w:hideMark/>
          </w:tcPr>
          <w:p w14:paraId="676BD345" w14:textId="0AB688E9" w:rsidR="000053D3" w:rsidRPr="000053D3" w:rsidRDefault="00023456" w:rsidP="000053D3">
            <w:pPr>
              <w:spacing w:after="0" w:line="240" w:lineRule="auto"/>
              <w:jc w:val="right"/>
              <w:rPr>
                <w:rFonts w:ascii="Calibri" w:eastAsia="Times New Roman" w:hAnsi="Calibri" w:cs="Calibri"/>
                <w:color w:val="000000"/>
              </w:rPr>
            </w:pPr>
            <w:r>
              <w:rPr>
                <w:rFonts w:ascii="Calibri" w:eastAsia="Times New Roman" w:hAnsi="Calibri" w:cs="Calibri"/>
                <w:color w:val="000000"/>
              </w:rPr>
              <w:t>0</w:t>
            </w:r>
          </w:p>
        </w:tc>
        <w:tc>
          <w:tcPr>
            <w:tcW w:w="1376" w:type="dxa"/>
            <w:tcBorders>
              <w:top w:val="nil"/>
              <w:left w:val="nil"/>
              <w:bottom w:val="single" w:sz="8" w:space="0" w:color="auto"/>
              <w:right w:val="nil"/>
            </w:tcBorders>
            <w:shd w:val="clear" w:color="auto" w:fill="auto"/>
            <w:noWrap/>
            <w:vAlign w:val="bottom"/>
            <w:hideMark/>
          </w:tcPr>
          <w:p w14:paraId="2E94DEA6" w14:textId="77777777" w:rsidR="000053D3" w:rsidRPr="000053D3" w:rsidRDefault="000053D3" w:rsidP="000053D3">
            <w:pPr>
              <w:spacing w:after="0" w:line="240" w:lineRule="auto"/>
              <w:jc w:val="right"/>
              <w:rPr>
                <w:rFonts w:ascii="Calibri" w:eastAsia="Times New Roman" w:hAnsi="Calibri" w:cs="Calibri"/>
                <w:color w:val="000000"/>
              </w:rPr>
            </w:pPr>
            <w:r w:rsidRPr="000053D3">
              <w:rPr>
                <w:rFonts w:ascii="Calibri" w:eastAsia="Times New Roman" w:hAnsi="Calibri" w:cs="Calibri"/>
                <w:color w:val="000000"/>
              </w:rPr>
              <w:t xml:space="preserve">$35,682 </w:t>
            </w:r>
          </w:p>
        </w:tc>
        <w:tc>
          <w:tcPr>
            <w:tcW w:w="1316" w:type="dxa"/>
            <w:tcBorders>
              <w:top w:val="nil"/>
              <w:left w:val="nil"/>
              <w:bottom w:val="single" w:sz="8" w:space="0" w:color="auto"/>
              <w:right w:val="nil"/>
            </w:tcBorders>
            <w:shd w:val="clear" w:color="auto" w:fill="auto"/>
            <w:noWrap/>
            <w:vAlign w:val="bottom"/>
            <w:hideMark/>
          </w:tcPr>
          <w:p w14:paraId="202E6551" w14:textId="77777777" w:rsidR="000053D3" w:rsidRPr="000053D3" w:rsidRDefault="000053D3" w:rsidP="000053D3">
            <w:pPr>
              <w:spacing w:after="0" w:line="240" w:lineRule="auto"/>
              <w:jc w:val="right"/>
              <w:rPr>
                <w:rFonts w:ascii="Calibri" w:eastAsia="Times New Roman" w:hAnsi="Calibri" w:cs="Calibri"/>
                <w:color w:val="000000"/>
              </w:rPr>
            </w:pPr>
            <w:r w:rsidRPr="000053D3">
              <w:rPr>
                <w:rFonts w:ascii="Calibri" w:eastAsia="Times New Roman" w:hAnsi="Calibri" w:cs="Calibri"/>
                <w:color w:val="000000"/>
              </w:rPr>
              <w:t xml:space="preserve">$21,220 </w:t>
            </w:r>
          </w:p>
        </w:tc>
        <w:tc>
          <w:tcPr>
            <w:tcW w:w="1218" w:type="dxa"/>
            <w:gridSpan w:val="2"/>
            <w:tcBorders>
              <w:top w:val="nil"/>
              <w:left w:val="nil"/>
              <w:bottom w:val="single" w:sz="8" w:space="0" w:color="auto"/>
              <w:right w:val="single" w:sz="8" w:space="0" w:color="auto"/>
            </w:tcBorders>
            <w:shd w:val="clear" w:color="auto" w:fill="auto"/>
            <w:noWrap/>
            <w:vAlign w:val="bottom"/>
            <w:hideMark/>
          </w:tcPr>
          <w:p w14:paraId="2EF19431" w14:textId="77777777" w:rsidR="000053D3" w:rsidRPr="000053D3" w:rsidRDefault="000053D3" w:rsidP="000053D3">
            <w:pPr>
              <w:spacing w:after="0" w:line="240" w:lineRule="auto"/>
              <w:jc w:val="right"/>
              <w:rPr>
                <w:rFonts w:ascii="Calibri" w:eastAsia="Times New Roman" w:hAnsi="Calibri" w:cs="Calibri"/>
                <w:color w:val="000000"/>
              </w:rPr>
            </w:pPr>
            <w:r w:rsidRPr="000053D3">
              <w:rPr>
                <w:rFonts w:ascii="Calibri" w:eastAsia="Times New Roman" w:hAnsi="Calibri" w:cs="Calibri"/>
                <w:color w:val="000000"/>
              </w:rPr>
              <w:t xml:space="preserve">$110,923 </w:t>
            </w:r>
          </w:p>
        </w:tc>
      </w:tr>
      <w:tr w:rsidR="000053D3" w:rsidRPr="000053D3" w14:paraId="4541237C" w14:textId="77777777" w:rsidTr="00023456">
        <w:trPr>
          <w:gridBefore w:val="1"/>
          <w:wBefore w:w="10" w:type="dxa"/>
          <w:trHeight w:val="315"/>
        </w:trPr>
        <w:tc>
          <w:tcPr>
            <w:tcW w:w="1760" w:type="dxa"/>
            <w:tcBorders>
              <w:top w:val="nil"/>
              <w:left w:val="single" w:sz="8" w:space="0" w:color="auto"/>
              <w:bottom w:val="single" w:sz="8" w:space="0" w:color="auto"/>
              <w:right w:val="single" w:sz="8" w:space="0" w:color="auto"/>
            </w:tcBorders>
            <w:shd w:val="clear" w:color="auto" w:fill="auto"/>
            <w:noWrap/>
            <w:vAlign w:val="bottom"/>
            <w:hideMark/>
          </w:tcPr>
          <w:p w14:paraId="1042A251" w14:textId="77777777" w:rsidR="000053D3" w:rsidRPr="000053D3" w:rsidRDefault="000053D3" w:rsidP="000053D3">
            <w:pPr>
              <w:spacing w:after="0" w:line="240" w:lineRule="auto"/>
              <w:rPr>
                <w:rFonts w:ascii="Calibri" w:eastAsia="Times New Roman" w:hAnsi="Calibri" w:cs="Calibri"/>
                <w:b/>
                <w:bCs/>
                <w:color w:val="000000"/>
              </w:rPr>
            </w:pPr>
            <w:r w:rsidRPr="000053D3">
              <w:rPr>
                <w:rFonts w:ascii="Calibri" w:eastAsia="Times New Roman" w:hAnsi="Calibri" w:cs="Calibri"/>
                <w:b/>
                <w:bCs/>
                <w:color w:val="000000"/>
              </w:rPr>
              <w:t>Total Effect</w:t>
            </w:r>
          </w:p>
        </w:tc>
        <w:tc>
          <w:tcPr>
            <w:tcW w:w="1381" w:type="dxa"/>
            <w:tcBorders>
              <w:top w:val="nil"/>
              <w:left w:val="nil"/>
              <w:bottom w:val="single" w:sz="8" w:space="0" w:color="auto"/>
              <w:right w:val="nil"/>
            </w:tcBorders>
            <w:shd w:val="clear" w:color="auto" w:fill="auto"/>
            <w:noWrap/>
            <w:vAlign w:val="bottom"/>
            <w:hideMark/>
          </w:tcPr>
          <w:p w14:paraId="6759BC5D" w14:textId="62AFB9C6" w:rsidR="000053D3" w:rsidRPr="000053D3" w:rsidRDefault="00023456" w:rsidP="000053D3">
            <w:pPr>
              <w:spacing w:after="0" w:line="240" w:lineRule="auto"/>
              <w:jc w:val="right"/>
              <w:rPr>
                <w:rFonts w:ascii="Calibri" w:eastAsia="Times New Roman" w:hAnsi="Calibri" w:cs="Calibri"/>
                <w:color w:val="000000"/>
              </w:rPr>
            </w:pPr>
            <w:r>
              <w:rPr>
                <w:rFonts w:ascii="Calibri" w:eastAsia="Times New Roman" w:hAnsi="Calibri" w:cs="Calibri"/>
                <w:color w:val="000000"/>
              </w:rPr>
              <w:t>8</w:t>
            </w:r>
          </w:p>
        </w:tc>
        <w:tc>
          <w:tcPr>
            <w:tcW w:w="1376" w:type="dxa"/>
            <w:tcBorders>
              <w:top w:val="nil"/>
              <w:left w:val="nil"/>
              <w:bottom w:val="single" w:sz="8" w:space="0" w:color="auto"/>
              <w:right w:val="nil"/>
            </w:tcBorders>
            <w:shd w:val="clear" w:color="auto" w:fill="auto"/>
            <w:noWrap/>
            <w:vAlign w:val="bottom"/>
            <w:hideMark/>
          </w:tcPr>
          <w:p w14:paraId="789C2BCD" w14:textId="77777777" w:rsidR="000053D3" w:rsidRPr="000053D3" w:rsidRDefault="000053D3" w:rsidP="000053D3">
            <w:pPr>
              <w:spacing w:after="0" w:line="240" w:lineRule="auto"/>
              <w:jc w:val="right"/>
              <w:rPr>
                <w:rFonts w:ascii="Calibri" w:eastAsia="Times New Roman" w:hAnsi="Calibri" w:cs="Calibri"/>
                <w:color w:val="000000"/>
              </w:rPr>
            </w:pPr>
            <w:r w:rsidRPr="000053D3">
              <w:rPr>
                <w:rFonts w:ascii="Calibri" w:eastAsia="Times New Roman" w:hAnsi="Calibri" w:cs="Calibri"/>
                <w:color w:val="000000"/>
              </w:rPr>
              <w:t xml:space="preserve">$184,030 </w:t>
            </w:r>
          </w:p>
        </w:tc>
        <w:tc>
          <w:tcPr>
            <w:tcW w:w="1316" w:type="dxa"/>
            <w:tcBorders>
              <w:top w:val="nil"/>
              <w:left w:val="nil"/>
              <w:bottom w:val="single" w:sz="8" w:space="0" w:color="auto"/>
              <w:right w:val="nil"/>
            </w:tcBorders>
            <w:shd w:val="clear" w:color="auto" w:fill="auto"/>
            <w:noWrap/>
            <w:vAlign w:val="bottom"/>
            <w:hideMark/>
          </w:tcPr>
          <w:p w14:paraId="1A494685" w14:textId="31E7772D" w:rsidR="000053D3" w:rsidRPr="000053D3" w:rsidRDefault="000053D3" w:rsidP="000053D3">
            <w:pPr>
              <w:spacing w:after="0" w:line="240" w:lineRule="auto"/>
              <w:jc w:val="right"/>
              <w:rPr>
                <w:rFonts w:ascii="Calibri" w:eastAsia="Times New Roman" w:hAnsi="Calibri" w:cs="Calibri"/>
                <w:color w:val="000000"/>
              </w:rPr>
            </w:pPr>
            <w:r w:rsidRPr="000053D3">
              <w:rPr>
                <w:rFonts w:ascii="Calibri" w:eastAsia="Times New Roman" w:hAnsi="Calibri" w:cs="Calibri"/>
                <w:color w:val="000000"/>
              </w:rPr>
              <w:t>$</w:t>
            </w:r>
            <w:r w:rsidR="00023456">
              <w:rPr>
                <w:rFonts w:ascii="Calibri" w:eastAsia="Times New Roman" w:hAnsi="Calibri" w:cs="Calibri"/>
                <w:color w:val="000000"/>
              </w:rPr>
              <w:t>943,851</w:t>
            </w:r>
            <w:r w:rsidRPr="000053D3">
              <w:rPr>
                <w:rFonts w:ascii="Calibri" w:eastAsia="Times New Roman" w:hAnsi="Calibri" w:cs="Calibri"/>
                <w:color w:val="000000"/>
              </w:rPr>
              <w:t xml:space="preserve"> </w:t>
            </w:r>
          </w:p>
        </w:tc>
        <w:tc>
          <w:tcPr>
            <w:tcW w:w="1218" w:type="dxa"/>
            <w:gridSpan w:val="2"/>
            <w:tcBorders>
              <w:top w:val="nil"/>
              <w:left w:val="nil"/>
              <w:bottom w:val="single" w:sz="8" w:space="0" w:color="auto"/>
              <w:right w:val="single" w:sz="8" w:space="0" w:color="auto"/>
            </w:tcBorders>
            <w:shd w:val="clear" w:color="auto" w:fill="auto"/>
            <w:noWrap/>
            <w:vAlign w:val="bottom"/>
            <w:hideMark/>
          </w:tcPr>
          <w:p w14:paraId="0823174A" w14:textId="77777777" w:rsidR="000053D3" w:rsidRPr="000053D3" w:rsidRDefault="000053D3" w:rsidP="000053D3">
            <w:pPr>
              <w:spacing w:after="0" w:line="240" w:lineRule="auto"/>
              <w:jc w:val="right"/>
              <w:rPr>
                <w:rFonts w:ascii="Calibri" w:eastAsia="Times New Roman" w:hAnsi="Calibri" w:cs="Calibri"/>
                <w:color w:val="000000"/>
              </w:rPr>
            </w:pPr>
            <w:r w:rsidRPr="000053D3">
              <w:rPr>
                <w:rFonts w:ascii="Calibri" w:eastAsia="Times New Roman" w:hAnsi="Calibri" w:cs="Calibri"/>
                <w:color w:val="000000"/>
              </w:rPr>
              <w:t xml:space="preserve">$1,523,958 </w:t>
            </w:r>
          </w:p>
        </w:tc>
      </w:tr>
    </w:tbl>
    <w:p w14:paraId="16FBB111" w14:textId="2816984D" w:rsidR="000053D3" w:rsidRDefault="000053D3"/>
    <w:p w14:paraId="2D78130D" w14:textId="14C3F6C7" w:rsidR="00975C17" w:rsidRDefault="000053D3">
      <w:pPr>
        <w:rPr>
          <w:rFonts w:ascii="Calibri" w:eastAsia="Times New Roman" w:hAnsi="Calibri" w:cs="Calibri"/>
          <w:color w:val="000000"/>
        </w:rPr>
      </w:pPr>
      <w:r>
        <w:rPr>
          <w:b/>
          <w:bCs/>
        </w:rPr>
        <w:t>Direct loss of agriculture sales of $</w:t>
      </w:r>
      <w:r w:rsidRPr="000053D3">
        <w:rPr>
          <w:rFonts w:ascii="Calibri" w:eastAsia="Times New Roman" w:hAnsi="Calibri" w:cs="Calibri"/>
          <w:color w:val="000000"/>
        </w:rPr>
        <w:t>1,092,848</w:t>
      </w:r>
      <w:r>
        <w:rPr>
          <w:rFonts w:ascii="Calibri" w:eastAsia="Times New Roman" w:hAnsi="Calibri" w:cs="Calibri"/>
          <w:color w:val="000000"/>
        </w:rPr>
        <w:t xml:space="preserve"> will create a decrease in total transactions in Lenawee County, totaling $1.5 million per year. This would result in a reduction of </w:t>
      </w:r>
      <w:r w:rsidR="00023456">
        <w:rPr>
          <w:rFonts w:ascii="Calibri" w:eastAsia="Times New Roman" w:hAnsi="Calibri" w:cs="Calibri"/>
          <w:color w:val="000000"/>
        </w:rPr>
        <w:t xml:space="preserve">regional income of just under </w:t>
      </w:r>
      <w:r w:rsidR="00023456">
        <w:rPr>
          <w:rFonts w:ascii="Calibri" w:eastAsia="Times New Roman" w:hAnsi="Calibri" w:cs="Calibri"/>
          <w:color w:val="000000"/>
        </w:rPr>
        <w:lastRenderedPageBreak/>
        <w:t>$1,000,000 per year.</w:t>
      </w:r>
      <w:r w:rsidR="00023456">
        <w:rPr>
          <w:rStyle w:val="FootnoteReference"/>
          <w:rFonts w:ascii="Calibri" w:eastAsia="Times New Roman" w:hAnsi="Calibri" w:cs="Calibri"/>
          <w:color w:val="000000"/>
        </w:rPr>
        <w:footnoteReference w:id="2"/>
      </w:r>
      <w:r w:rsidR="00023456">
        <w:rPr>
          <w:rFonts w:ascii="Calibri" w:eastAsia="Times New Roman" w:hAnsi="Calibri" w:cs="Calibri"/>
          <w:color w:val="000000"/>
        </w:rPr>
        <w:t xml:space="preserve"> Total labor income will be expected to decline by $184,030, impacting a total of 8 Lenawee County workers.</w:t>
      </w:r>
      <w:r w:rsidR="00023456">
        <w:rPr>
          <w:rStyle w:val="FootnoteReference"/>
          <w:rFonts w:ascii="Calibri" w:eastAsia="Times New Roman" w:hAnsi="Calibri" w:cs="Calibri"/>
          <w:color w:val="000000"/>
        </w:rPr>
        <w:footnoteReference w:id="3"/>
      </w:r>
      <w:r w:rsidR="00023456">
        <w:rPr>
          <w:rFonts w:ascii="Calibri" w:eastAsia="Times New Roman" w:hAnsi="Calibri" w:cs="Calibri"/>
          <w:color w:val="000000"/>
        </w:rPr>
        <w:t xml:space="preserve"> </w:t>
      </w:r>
    </w:p>
    <w:p w14:paraId="3CDEEF75" w14:textId="4E1B0ADC" w:rsidR="00023456" w:rsidRPr="00975C17" w:rsidRDefault="00023456">
      <w:pPr>
        <w:rPr>
          <w:b/>
          <w:bCs/>
        </w:rPr>
      </w:pPr>
      <w:r>
        <w:rPr>
          <w:rFonts w:ascii="Calibri" w:eastAsia="Times New Roman" w:hAnsi="Calibri" w:cs="Calibri"/>
          <w:color w:val="000000"/>
        </w:rPr>
        <w:t xml:space="preserve">These estimates only take into account of expected impacts tied to reduced </w:t>
      </w:r>
      <w:r w:rsidR="00D87242">
        <w:rPr>
          <w:rFonts w:ascii="Calibri" w:eastAsia="Times New Roman" w:hAnsi="Calibri" w:cs="Calibri"/>
          <w:color w:val="000000"/>
        </w:rPr>
        <w:t xml:space="preserve">agricultural activities </w:t>
      </w:r>
      <w:r w:rsidR="00CC2F00">
        <w:rPr>
          <w:rFonts w:ascii="Calibri" w:eastAsia="Times New Roman" w:hAnsi="Calibri" w:cs="Calibri"/>
          <w:color w:val="000000"/>
        </w:rPr>
        <w:t xml:space="preserve">as currently exercised on these farms </w:t>
      </w:r>
      <w:r w:rsidR="00D87242">
        <w:rPr>
          <w:rFonts w:ascii="Calibri" w:eastAsia="Times New Roman" w:hAnsi="Calibri" w:cs="Calibri"/>
          <w:color w:val="000000"/>
        </w:rPr>
        <w:t xml:space="preserve">and do not take into consideration employment by </w:t>
      </w:r>
      <w:r w:rsidR="00D87242">
        <w:t xml:space="preserve">Carroll Road Solar Farm LLC in maintaining and operating the solar panel installation. It also does not take into consideration the expected impacts of any annual payments made on behalf of </w:t>
      </w:r>
      <w:r w:rsidR="00D87242" w:rsidRPr="00D87242">
        <w:t>Carroll Road Solar Farm LLC</w:t>
      </w:r>
      <w:r w:rsidR="00D87242">
        <w:t xml:space="preserve"> for personal property taxes, income taxes and land lease payments. </w:t>
      </w:r>
      <w:r w:rsidR="00535105">
        <w:t xml:space="preserve">Finally, the estimates do not take into account any substituted economic activity that may be applied to these lands in the presence of the solar panel installation. </w:t>
      </w:r>
    </w:p>
    <w:sectPr w:rsidR="00023456" w:rsidRPr="00975C1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15527D" w14:textId="77777777" w:rsidR="00475A62" w:rsidRDefault="00475A62" w:rsidP="00023456">
      <w:pPr>
        <w:spacing w:after="0" w:line="240" w:lineRule="auto"/>
      </w:pPr>
      <w:r>
        <w:separator/>
      </w:r>
    </w:p>
  </w:endnote>
  <w:endnote w:type="continuationSeparator" w:id="0">
    <w:p w14:paraId="08D4F654" w14:textId="77777777" w:rsidR="00475A62" w:rsidRDefault="00475A62" w:rsidP="00023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C3B85" w14:textId="77777777" w:rsidR="00D87242" w:rsidRDefault="00D87242" w:rsidP="00D87242">
    <w:pPr>
      <w:pStyle w:val="Footer"/>
      <w:jc w:val="right"/>
    </w:pPr>
  </w:p>
  <w:p w14:paraId="74A42133" w14:textId="77777777" w:rsidR="00D87242" w:rsidRDefault="00D87242" w:rsidP="00D87242">
    <w:pPr>
      <w:pStyle w:val="Footer"/>
      <w:jc w:val="center"/>
    </w:pPr>
    <w:r>
      <w:rPr>
        <w:noProof/>
      </w:rPr>
      <w:drawing>
        <wp:inline distT="0" distB="0" distL="0" distR="0" wp14:anchorId="579A9118" wp14:editId="5FBD3164">
          <wp:extent cx="4919980" cy="2743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19980" cy="274320"/>
                  </a:xfrm>
                  <a:prstGeom prst="rect">
                    <a:avLst/>
                  </a:prstGeom>
                  <a:noFill/>
                </pic:spPr>
              </pic:pic>
            </a:graphicData>
          </a:graphic>
        </wp:inline>
      </w:drawing>
    </w:r>
    <w:r>
      <w:rPr>
        <w:noProof/>
      </w:rPr>
      <mc:AlternateContent>
        <mc:Choice Requires="wps">
          <w:drawing>
            <wp:anchor distT="0" distB="0" distL="114300" distR="114300" simplePos="0" relativeHeight="251659264" behindDoc="0" locked="0" layoutInCell="1" allowOverlap="1" wp14:anchorId="781CA3D7" wp14:editId="7DC65920">
              <wp:simplePos x="0" y="0"/>
              <wp:positionH relativeFrom="column">
                <wp:posOffset>0</wp:posOffset>
              </wp:positionH>
              <wp:positionV relativeFrom="paragraph">
                <wp:posOffset>-635</wp:posOffset>
              </wp:positionV>
              <wp:extent cx="59436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59436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08485CC" id="Straight Connector 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05pt" to="46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" strokecolor="windowText" strokeweight=".5pt">
              <v:stroke joinstyle="miter"/>
            </v:line>
          </w:pict>
        </mc:Fallback>
      </mc:AlternateContent>
    </w:r>
    <w:r>
      <w:tab/>
    </w:r>
  </w:p>
  <w:p w14:paraId="1974D3E7" w14:textId="77777777" w:rsidR="00D87242" w:rsidRDefault="00D872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34EB7C" w14:textId="77777777" w:rsidR="00475A62" w:rsidRDefault="00475A62" w:rsidP="00023456">
      <w:pPr>
        <w:spacing w:after="0" w:line="240" w:lineRule="auto"/>
      </w:pPr>
      <w:r>
        <w:separator/>
      </w:r>
    </w:p>
  </w:footnote>
  <w:footnote w:type="continuationSeparator" w:id="0">
    <w:p w14:paraId="4DF411ED" w14:textId="77777777" w:rsidR="00475A62" w:rsidRDefault="00475A62" w:rsidP="00023456">
      <w:pPr>
        <w:spacing w:after="0" w:line="240" w:lineRule="auto"/>
      </w:pPr>
      <w:r>
        <w:continuationSeparator/>
      </w:r>
    </w:p>
  </w:footnote>
  <w:footnote w:id="1">
    <w:p w14:paraId="604947DA" w14:textId="187C7314" w:rsidR="00CC2F00" w:rsidRDefault="00CC2F00">
      <w:pPr>
        <w:pStyle w:val="FootnoteText"/>
      </w:pPr>
      <w:r>
        <w:rPr>
          <w:rStyle w:val="FootnoteReference"/>
        </w:rPr>
        <w:footnoteRef/>
      </w:r>
      <w:r>
        <w:t xml:space="preserve"> Estimates provided by the Center for Economic Analysis at Michigan State University under the directorship of Steven R. Miller. For more information contact Steven Miller at 517.355.2153 or by email at </w:t>
      </w:r>
      <w:hyperlink r:id="rId1" w:history="1">
        <w:r w:rsidRPr="00D54860">
          <w:rPr>
            <w:rStyle w:val="Hyperlink"/>
          </w:rPr>
          <w:t>mill1707@msu.edu</w:t>
        </w:r>
      </w:hyperlink>
      <w:r>
        <w:t xml:space="preserve">. </w:t>
      </w:r>
    </w:p>
  </w:footnote>
  <w:footnote w:id="2">
    <w:p w14:paraId="14CBA921" w14:textId="56CDD3B9" w:rsidR="00023456" w:rsidRDefault="00023456">
      <w:pPr>
        <w:pStyle w:val="FootnoteText"/>
      </w:pPr>
      <w:r>
        <w:rPr>
          <w:rStyle w:val="FootnoteReference"/>
        </w:rPr>
        <w:footnoteRef/>
      </w:r>
      <w:r>
        <w:t xml:space="preserve"> Regional income is the combined labor income, proprietor’s income, payments to capital and landowners and indirect business taxes.</w:t>
      </w:r>
    </w:p>
  </w:footnote>
  <w:footnote w:id="3">
    <w:p w14:paraId="059D4698" w14:textId="5CFEA150" w:rsidR="00CC2F00" w:rsidRDefault="00023456">
      <w:pPr>
        <w:pStyle w:val="FootnoteText"/>
      </w:pPr>
      <w:r>
        <w:rPr>
          <w:rStyle w:val="FootnoteReference"/>
        </w:rPr>
        <w:footnoteRef/>
      </w:r>
      <w:r>
        <w:t xml:space="preserve"> Employment may include self-employed proprietors.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4C8FB0" w14:textId="216B4719" w:rsidR="00535105" w:rsidRDefault="00535105">
    <w:pPr>
      <w:pStyle w:val="Header"/>
    </w:pPr>
    <w:r>
      <w:t>Michigan State University: Center for Economic Analysis</w:t>
    </w:r>
    <w:r>
      <w:tab/>
      <w:t>February 27, 2020</w:t>
    </w:r>
  </w:p>
  <w:p w14:paraId="2B935589" w14:textId="77777777" w:rsidR="00535105" w:rsidRDefault="00535105">
    <w:pPr>
      <w:pStyle w:val="Header"/>
    </w:pPr>
  </w:p>
  <w:p w14:paraId="31D4BC72" w14:textId="49FB4D86" w:rsidR="00D87242" w:rsidRDefault="00D87242">
    <w:pPr>
      <w:pStyle w:val="Header"/>
      <w:rPr>
        <w:b/>
        <w:bCs/>
        <w:sz w:val="24"/>
        <w:szCs w:val="24"/>
      </w:rPr>
    </w:pPr>
    <w:r w:rsidRPr="00535105">
      <w:rPr>
        <w:b/>
        <w:bCs/>
        <w:sz w:val="24"/>
        <w:szCs w:val="24"/>
      </w:rPr>
      <w:t>Carroll Road Solar Farm LLC. Estimated Economic Impacts of Reduced Agricultural Production</w:t>
    </w:r>
  </w:p>
  <w:p w14:paraId="48D9D9A8" w14:textId="0E0DC457" w:rsidR="00535105" w:rsidRPr="00535105" w:rsidRDefault="00535105">
    <w:pPr>
      <w:pStyle w:val="Header"/>
      <w:rPr>
        <w:b/>
        <w:bCs/>
        <w:sz w:val="24"/>
        <w:szCs w:val="24"/>
      </w:rPr>
    </w:pPr>
    <w:r>
      <w:rPr>
        <w:noProof/>
      </w:rPr>
      <mc:AlternateContent>
        <mc:Choice Requires="wps">
          <w:drawing>
            <wp:anchor distT="0" distB="0" distL="114300" distR="114300" simplePos="0" relativeHeight="251661312" behindDoc="0" locked="0" layoutInCell="1" allowOverlap="1" wp14:anchorId="41320310" wp14:editId="36AC6543">
              <wp:simplePos x="0" y="0"/>
              <wp:positionH relativeFrom="column">
                <wp:posOffset>0</wp:posOffset>
              </wp:positionH>
              <wp:positionV relativeFrom="paragraph">
                <wp:posOffset>0</wp:posOffset>
              </wp:positionV>
              <wp:extent cx="59436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F228DC7"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" strokecolor="windowText" strokeweight=".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4A4033"/>
    <w:multiLevelType w:val="hybridMultilevel"/>
    <w:tmpl w:val="4C68B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8B192B"/>
    <w:multiLevelType w:val="hybridMultilevel"/>
    <w:tmpl w:val="6AD29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31F"/>
    <w:rsid w:val="000053D3"/>
    <w:rsid w:val="00023456"/>
    <w:rsid w:val="001D6A32"/>
    <w:rsid w:val="00475A62"/>
    <w:rsid w:val="00535105"/>
    <w:rsid w:val="008946AD"/>
    <w:rsid w:val="00975C17"/>
    <w:rsid w:val="00B5131F"/>
    <w:rsid w:val="00C25955"/>
    <w:rsid w:val="00CC2F00"/>
    <w:rsid w:val="00CD7055"/>
    <w:rsid w:val="00D87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C1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59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5955"/>
    <w:rPr>
      <w:rFonts w:ascii="Segoe UI" w:hAnsi="Segoe UI" w:cs="Segoe UI"/>
      <w:sz w:val="18"/>
      <w:szCs w:val="18"/>
    </w:rPr>
  </w:style>
  <w:style w:type="paragraph" w:styleId="ListParagraph">
    <w:name w:val="List Paragraph"/>
    <w:basedOn w:val="Normal"/>
    <w:uiPriority w:val="34"/>
    <w:qFormat/>
    <w:rsid w:val="00C25955"/>
    <w:pPr>
      <w:ind w:left="720"/>
      <w:contextualSpacing/>
    </w:pPr>
  </w:style>
  <w:style w:type="paragraph" w:styleId="FootnoteText">
    <w:name w:val="footnote text"/>
    <w:basedOn w:val="Normal"/>
    <w:link w:val="FootnoteTextChar"/>
    <w:uiPriority w:val="99"/>
    <w:semiHidden/>
    <w:unhideWhenUsed/>
    <w:rsid w:val="000234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3456"/>
    <w:rPr>
      <w:sz w:val="20"/>
      <w:szCs w:val="20"/>
    </w:rPr>
  </w:style>
  <w:style w:type="character" w:styleId="FootnoteReference">
    <w:name w:val="footnote reference"/>
    <w:basedOn w:val="DefaultParagraphFont"/>
    <w:uiPriority w:val="99"/>
    <w:semiHidden/>
    <w:unhideWhenUsed/>
    <w:rsid w:val="00023456"/>
    <w:rPr>
      <w:vertAlign w:val="superscript"/>
    </w:rPr>
  </w:style>
  <w:style w:type="paragraph" w:styleId="Header">
    <w:name w:val="header"/>
    <w:basedOn w:val="Normal"/>
    <w:link w:val="HeaderChar"/>
    <w:uiPriority w:val="99"/>
    <w:unhideWhenUsed/>
    <w:rsid w:val="00D872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242"/>
  </w:style>
  <w:style w:type="paragraph" w:styleId="Footer">
    <w:name w:val="footer"/>
    <w:basedOn w:val="Normal"/>
    <w:link w:val="FooterChar"/>
    <w:uiPriority w:val="99"/>
    <w:unhideWhenUsed/>
    <w:rsid w:val="00D872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242"/>
  </w:style>
  <w:style w:type="character" w:styleId="Hyperlink">
    <w:name w:val="Hyperlink"/>
    <w:basedOn w:val="DefaultParagraphFont"/>
    <w:uiPriority w:val="99"/>
    <w:unhideWhenUsed/>
    <w:rsid w:val="00CC2F00"/>
    <w:rPr>
      <w:color w:val="0563C1" w:themeColor="hyperlink"/>
      <w:u w:val="single"/>
    </w:rPr>
  </w:style>
  <w:style w:type="character" w:customStyle="1" w:styleId="UnresolvedMention">
    <w:name w:val="Unresolved Mention"/>
    <w:basedOn w:val="DefaultParagraphFont"/>
    <w:uiPriority w:val="99"/>
    <w:semiHidden/>
    <w:unhideWhenUsed/>
    <w:rsid w:val="00CC2F0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59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5955"/>
    <w:rPr>
      <w:rFonts w:ascii="Segoe UI" w:hAnsi="Segoe UI" w:cs="Segoe UI"/>
      <w:sz w:val="18"/>
      <w:szCs w:val="18"/>
    </w:rPr>
  </w:style>
  <w:style w:type="paragraph" w:styleId="ListParagraph">
    <w:name w:val="List Paragraph"/>
    <w:basedOn w:val="Normal"/>
    <w:uiPriority w:val="34"/>
    <w:qFormat/>
    <w:rsid w:val="00C25955"/>
    <w:pPr>
      <w:ind w:left="720"/>
      <w:contextualSpacing/>
    </w:pPr>
  </w:style>
  <w:style w:type="paragraph" w:styleId="FootnoteText">
    <w:name w:val="footnote text"/>
    <w:basedOn w:val="Normal"/>
    <w:link w:val="FootnoteTextChar"/>
    <w:uiPriority w:val="99"/>
    <w:semiHidden/>
    <w:unhideWhenUsed/>
    <w:rsid w:val="000234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3456"/>
    <w:rPr>
      <w:sz w:val="20"/>
      <w:szCs w:val="20"/>
    </w:rPr>
  </w:style>
  <w:style w:type="character" w:styleId="FootnoteReference">
    <w:name w:val="footnote reference"/>
    <w:basedOn w:val="DefaultParagraphFont"/>
    <w:uiPriority w:val="99"/>
    <w:semiHidden/>
    <w:unhideWhenUsed/>
    <w:rsid w:val="00023456"/>
    <w:rPr>
      <w:vertAlign w:val="superscript"/>
    </w:rPr>
  </w:style>
  <w:style w:type="paragraph" w:styleId="Header">
    <w:name w:val="header"/>
    <w:basedOn w:val="Normal"/>
    <w:link w:val="HeaderChar"/>
    <w:uiPriority w:val="99"/>
    <w:unhideWhenUsed/>
    <w:rsid w:val="00D872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242"/>
  </w:style>
  <w:style w:type="paragraph" w:styleId="Footer">
    <w:name w:val="footer"/>
    <w:basedOn w:val="Normal"/>
    <w:link w:val="FooterChar"/>
    <w:uiPriority w:val="99"/>
    <w:unhideWhenUsed/>
    <w:rsid w:val="00D872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242"/>
  </w:style>
  <w:style w:type="character" w:styleId="Hyperlink">
    <w:name w:val="Hyperlink"/>
    <w:basedOn w:val="DefaultParagraphFont"/>
    <w:uiPriority w:val="99"/>
    <w:unhideWhenUsed/>
    <w:rsid w:val="00CC2F00"/>
    <w:rPr>
      <w:color w:val="0563C1" w:themeColor="hyperlink"/>
      <w:u w:val="single"/>
    </w:rPr>
  </w:style>
  <w:style w:type="character" w:customStyle="1" w:styleId="UnresolvedMention">
    <w:name w:val="Unresolved Mention"/>
    <w:basedOn w:val="DefaultParagraphFont"/>
    <w:uiPriority w:val="99"/>
    <w:semiHidden/>
    <w:unhideWhenUsed/>
    <w:rsid w:val="00CC2F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457746">
      <w:bodyDiv w:val="1"/>
      <w:marLeft w:val="0"/>
      <w:marRight w:val="0"/>
      <w:marTop w:val="0"/>
      <w:marBottom w:val="0"/>
      <w:divBdr>
        <w:top w:val="none" w:sz="0" w:space="0" w:color="auto"/>
        <w:left w:val="none" w:sz="0" w:space="0" w:color="auto"/>
        <w:bottom w:val="none" w:sz="0" w:space="0" w:color="auto"/>
        <w:right w:val="none" w:sz="0" w:space="0" w:color="auto"/>
      </w:divBdr>
    </w:div>
    <w:div w:id="1059941775">
      <w:bodyDiv w:val="1"/>
      <w:marLeft w:val="0"/>
      <w:marRight w:val="0"/>
      <w:marTop w:val="0"/>
      <w:marBottom w:val="0"/>
      <w:divBdr>
        <w:top w:val="none" w:sz="0" w:space="0" w:color="auto"/>
        <w:left w:val="none" w:sz="0" w:space="0" w:color="auto"/>
        <w:bottom w:val="none" w:sz="0" w:space="0" w:color="auto"/>
        <w:right w:val="none" w:sz="0" w:space="0" w:color="auto"/>
      </w:divBdr>
    </w:div>
    <w:div w:id="131322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mailto:mill1707@m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6D6E6-F565-4C46-9263-7A04E35E4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Steven</dc:creator>
  <cp:lastModifiedBy>Kevon</cp:lastModifiedBy>
  <cp:revision>2</cp:revision>
  <dcterms:created xsi:type="dcterms:W3CDTF">2020-05-04T17:03:00Z</dcterms:created>
  <dcterms:modified xsi:type="dcterms:W3CDTF">2020-05-04T17:03:00Z</dcterms:modified>
</cp:coreProperties>
</file>